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کمیته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حقوق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افراد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دارای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جلسه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یازدهم</w:t>
      </w:r>
    </w:p>
    <w:p w:rsidR="00000000" w:rsidDel="00000000" w:rsidP="00000000" w:rsidRDefault="00000000" w:rsidRPr="00000000" w14:paraId="00000003">
      <w:pPr>
        <w:bidi w:val="1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۱۹ </w:t>
      </w:r>
      <w:r w:rsidDel="00000000" w:rsidR="00000000" w:rsidRPr="00000000">
        <w:rPr>
          <w:sz w:val="24"/>
          <w:szCs w:val="24"/>
          <w:rtl w:val="1"/>
        </w:rPr>
        <w:t xml:space="preserve">ماه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۲۰۱۴ [۲۹ </w:t>
      </w:r>
      <w:r w:rsidDel="00000000" w:rsidR="00000000" w:rsidRPr="00000000">
        <w:rPr>
          <w:sz w:val="24"/>
          <w:szCs w:val="24"/>
          <w:rtl w:val="1"/>
        </w:rPr>
        <w:t xml:space="preserve">اردیبهشت</w:t>
      </w:r>
      <w:r w:rsidDel="00000000" w:rsidR="00000000" w:rsidRPr="00000000">
        <w:rPr>
          <w:sz w:val="24"/>
          <w:szCs w:val="24"/>
          <w:rtl w:val="1"/>
        </w:rPr>
        <w:t xml:space="preserve"> ۱۳۹۳]</w:t>
      </w:r>
    </w:p>
    <w:p w:rsidR="00000000" w:rsidDel="00000000" w:rsidP="00000000" w:rsidRDefault="00000000" w:rsidRPr="00000000" w14:paraId="00000004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تفسیر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کلی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شماره</w:t>
      </w:r>
      <w:r w:rsidDel="00000000" w:rsidR="00000000" w:rsidRPr="00000000">
        <w:rPr>
          <w:b w:val="1"/>
          <w:sz w:val="32"/>
          <w:szCs w:val="32"/>
          <w:rtl w:val="1"/>
        </w:rPr>
        <w:t xml:space="preserve"> ۱</w:t>
      </w:r>
    </w:p>
    <w:p w:rsidR="00000000" w:rsidDel="00000000" w:rsidP="00000000" w:rsidRDefault="00000000" w:rsidRPr="00000000" w14:paraId="00000007">
      <w:pPr>
        <w:bidi w:val="1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ماده</w:t>
      </w:r>
      <w:r w:rsidDel="00000000" w:rsidR="00000000" w:rsidRPr="00000000">
        <w:rPr>
          <w:b w:val="1"/>
          <w:sz w:val="32"/>
          <w:szCs w:val="32"/>
          <w:rtl w:val="1"/>
        </w:rPr>
        <w:t xml:space="preserve"> ۱۲: </w:t>
      </w:r>
      <w:r w:rsidDel="00000000" w:rsidR="00000000" w:rsidRPr="00000000">
        <w:rPr>
          <w:b w:val="1"/>
          <w:sz w:val="32"/>
          <w:szCs w:val="32"/>
          <w:rtl w:val="1"/>
        </w:rPr>
        <w:t xml:space="preserve">شناسایی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جایگاه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برابر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در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پیشگاه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قانون</w:t>
      </w:r>
    </w:p>
    <w:p w:rsidR="00000000" w:rsidDel="00000000" w:rsidP="00000000" w:rsidRDefault="00000000" w:rsidRPr="00000000" w14:paraId="00000008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1"/>
        </w:rPr>
        <w:t xml:space="preserve">ترجمه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کمپین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المللی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اول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مقدمه</w:t>
      </w:r>
    </w:p>
    <w:p w:rsidR="00000000" w:rsidDel="00000000" w:rsidP="00000000" w:rsidRDefault="00000000" w:rsidRPr="00000000" w14:paraId="0000000C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۱. </w:t>
      </w:r>
      <w:r w:rsidDel="00000000" w:rsidR="00000000" w:rsidRPr="00000000">
        <w:rPr>
          <w:sz w:val="24"/>
          <w:szCs w:val="24"/>
          <w:rtl w:val="1"/>
        </w:rPr>
        <w:t xml:space="preserve">برابری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اصول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اساسی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ضرورت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اعلامیه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میثاق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المللی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سیاسی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محتوای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توضیح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حوزه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معمول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مضایقه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تمرکز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بیشتری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ایجاد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نشده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عناصری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پرداخته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برخورداری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جایگاهی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یکسان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گیرند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۲. 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کمیته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جلسات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گفتگویی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زمینه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ترتیب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مفیدی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کارشناسان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سازمان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سازمان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غیردولتی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نهادهای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مبتنی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معاهده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نهاد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آژانس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سازمان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کمیته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زمینه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راهنمایی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بیشتری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تفسیر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ارائه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۳.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برداشت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کمیته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گزارش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ابهاماتی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قلمرو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دقیق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تعهدات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12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درستی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مبتنی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ایجاد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نشده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اقتضای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الگوی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همراه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حرکت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کنیم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هدف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تفسیر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رو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تعهدات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مختلف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۴. </w:t>
      </w:r>
      <w:r w:rsidDel="00000000" w:rsidR="00000000" w:rsidRPr="00000000">
        <w:rPr>
          <w:sz w:val="24"/>
          <w:szCs w:val="24"/>
          <w:rtl w:val="1"/>
        </w:rPr>
        <w:t xml:space="preserve">تفسیر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حاضر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بازتاب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تفسیر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اصول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نحوی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۳ </w:t>
      </w:r>
      <w:r w:rsidDel="00000000" w:rsidR="00000000" w:rsidRPr="00000000">
        <w:rPr>
          <w:sz w:val="24"/>
          <w:szCs w:val="24"/>
          <w:rtl w:val="1"/>
        </w:rPr>
        <w:t xml:space="preserve">آمده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استوار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اصول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عبارتند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کرامت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ذاتی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خودمختاری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فردی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آزادی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استقلال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مشارکت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حضور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جامعه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تفاوت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پذیرش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انسان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انسانیت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برابری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فرصت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برابری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توانایی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کودکان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کودکان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حفظ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هویت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۵. </w:t>
      </w:r>
      <w:r w:rsidDel="00000000" w:rsidR="00000000" w:rsidRPr="00000000">
        <w:rPr>
          <w:sz w:val="24"/>
          <w:szCs w:val="24"/>
          <w:rtl w:val="1"/>
        </w:rPr>
        <w:t xml:space="preserve">اعلامیه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میثاق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المللی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سیاسی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«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</w:t>
      </w:r>
      <w:r w:rsidDel="00000000" w:rsidR="00000000" w:rsidRPr="00000000">
        <w:rPr>
          <w:sz w:val="24"/>
          <w:szCs w:val="24"/>
          <w:rtl w:val="1"/>
        </w:rPr>
        <w:t xml:space="preserve">» </w:t>
      </w:r>
      <w:r w:rsidDel="00000000" w:rsidR="00000000" w:rsidRPr="00000000">
        <w:rPr>
          <w:sz w:val="24"/>
          <w:szCs w:val="24"/>
          <w:rtl w:val="1"/>
        </w:rPr>
        <w:t xml:space="preserve">قابل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توصیف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الملل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هیچ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شرایطی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حقیقی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محدود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۲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۴ </w:t>
      </w:r>
      <w:r w:rsidDel="00000000" w:rsidR="00000000" w:rsidRPr="00000000">
        <w:rPr>
          <w:sz w:val="24"/>
          <w:szCs w:val="24"/>
          <w:rtl w:val="1"/>
        </w:rPr>
        <w:t xml:space="preserve">میثاق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المللی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سیاسی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تحکیم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اضطرار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عمومی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هیچ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گونه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تخطی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شناخته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مشابهی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نقض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نیامده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۴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۴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محتوای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میثاق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المللی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تایید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مقررات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الملل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نخواهد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۶.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معاهدات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اصلی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المللی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منطقه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بازتاب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یافته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۱۵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اشکال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مردان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رابطه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انعقاد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قرارداد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مالکیت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دادگستری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۳ </w:t>
      </w:r>
      <w:r w:rsidDel="00000000" w:rsidR="00000000" w:rsidRPr="00000000">
        <w:rPr>
          <w:sz w:val="24"/>
          <w:szCs w:val="24"/>
          <w:rtl w:val="1"/>
        </w:rPr>
        <w:t xml:space="preserve">منشور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افریقایی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برخورداری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بینی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۳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امریکایی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شناخته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حقیقی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شناخته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۷.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قوانین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اطمینان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محدود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تاریخ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آمیز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بسیاری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حوزه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پذیرفته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قیمومت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قوانین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حاکم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آسایشگاه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قوانین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سلامت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اجازه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اجباری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دهند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بازگرداندن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رویه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ملغا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۸.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تایید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تاریخ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بسیاری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گروه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زنان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خصوص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ازدواج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اقلیت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قومی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مغرضانه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انکار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وجود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گروهی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دنیا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پذیرفته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معناست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ویژگی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همگانی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ذاتی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دلیل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انسان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شناخته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مدنی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سیاسی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اقتصادی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اجتماعی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فرهنگی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ضروری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زمانی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سلامت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آموزش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ویژه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یابد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پذیرش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بسیاری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محرومیت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بنیادین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ازدواج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تشکیل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خانواده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تولیدمثلی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حضانت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سرپرستی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رضایت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روابط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نزدیک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پزشکی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آزادی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شخصی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۹.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آسیب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فیزیکی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ذهنی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هوشی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ممکن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تاثیر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گیرند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شناختی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نامتناسب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تاثیر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پذیرش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بوده</w:t>
      </w:r>
      <w:r w:rsidDel="00000000" w:rsidR="00000000" w:rsidRPr="00000000">
        <w:rPr>
          <w:sz w:val="24"/>
          <w:szCs w:val="24"/>
          <w:rtl w:val="1"/>
        </w:rPr>
        <w:t xml:space="preserve">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کمیته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دوباره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تاکید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آسیب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فیزیکی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حسی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هیچ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پذیرش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مذکور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رویه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هدف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نقض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بوده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لغو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D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۱۰.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تفسیر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ابتدا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محتوای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هنجاری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الزامات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تمرکز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کمیته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عمیق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ملاحظات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نهایی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تفسیر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اسناد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ادامه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الزامات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F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دوم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محتوای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هنجاری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</w:t>
      </w:r>
    </w:p>
    <w:p w:rsidR="00000000" w:rsidDel="00000000" w:rsidP="00000000" w:rsidRDefault="00000000" w:rsidRPr="00000000" w14:paraId="00000021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۱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</w:t>
      </w:r>
    </w:p>
    <w:p w:rsidR="00000000" w:rsidDel="00000000" w:rsidP="00000000" w:rsidRDefault="00000000" w:rsidRPr="00000000" w14:paraId="00000022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۱۱.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۱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تاکید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انسانی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لحاظ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حساب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آید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شرط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۲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</w:t>
      </w:r>
    </w:p>
    <w:p w:rsidR="00000000" w:rsidDel="00000000" w:rsidP="00000000" w:rsidRDefault="00000000" w:rsidRPr="00000000" w14:paraId="00000025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۱۲.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۲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آمده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ابعاد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برخوردارند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تمتع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استیفای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یعنی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درآورد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تمتع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مستحق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برخورداری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استیفای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یعنی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عاملیت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اختیار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معاملات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ایجاد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اصلاح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روابط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۵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مکلف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«</w:t>
      </w:r>
      <w:r w:rsidDel="00000000" w:rsidR="00000000" w:rsidRPr="00000000">
        <w:rPr>
          <w:sz w:val="24"/>
          <w:szCs w:val="24"/>
          <w:rtl w:val="1"/>
        </w:rPr>
        <w:t xml:space="preserve">تدابیر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مناسب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مالکیت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کنترل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خویش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بانکی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اقساط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اشکال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اعتبارات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اتخاذ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نمایند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خودسرانه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.»</w:t>
      </w:r>
    </w:p>
    <w:p w:rsidR="00000000" w:rsidDel="00000000" w:rsidP="00000000" w:rsidRDefault="00000000" w:rsidRPr="00000000" w14:paraId="00000026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۱۳.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ذهنی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مفهوم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جداگانه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تکالیف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تمتع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جایگاه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تکالیف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استیفا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عاملیت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مشارکت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معنادار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جامعه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ذهنی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طبیعی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متفاوت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عواملی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عوامل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محیطی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اجتماعی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اسناد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اعلامیه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۶)، </w:t>
      </w:r>
      <w:r w:rsidDel="00000000" w:rsidR="00000000" w:rsidRPr="00000000">
        <w:rPr>
          <w:sz w:val="24"/>
          <w:szCs w:val="24"/>
          <w:rtl w:val="1"/>
        </w:rPr>
        <w:t xml:space="preserve">میثاق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المللی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سیاسی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۱۶)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رفع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اشکال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زنان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۱۵) </w:t>
      </w:r>
      <w:r w:rsidDel="00000000" w:rsidR="00000000" w:rsidRPr="00000000">
        <w:rPr>
          <w:sz w:val="24"/>
          <w:szCs w:val="24"/>
          <w:rtl w:val="1"/>
        </w:rPr>
        <w:t xml:space="preserve">میان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ذهنی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ایجاد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«</w:t>
      </w:r>
      <w:r w:rsidDel="00000000" w:rsidR="00000000" w:rsidRPr="00000000">
        <w:rPr>
          <w:sz w:val="24"/>
          <w:szCs w:val="24"/>
          <w:rtl w:val="1"/>
        </w:rPr>
        <w:t xml:space="preserve">اختلال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مشاعر</w:t>
      </w:r>
      <w:r w:rsidDel="00000000" w:rsidR="00000000" w:rsidRPr="00000000">
        <w:rPr>
          <w:sz w:val="24"/>
          <w:szCs w:val="24"/>
          <w:rtl w:val="1"/>
        </w:rPr>
        <w:t xml:space="preserve">»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برچسب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آمیز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دلیل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موجهی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عاملیت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حساب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آیند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نقصان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ذهنی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ادعایی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واقعی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نباید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دستاویز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۱۴.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ذاتی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همان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طور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زیرمجموعه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اولی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تمتع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مدارک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تولد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دریافت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پزشکی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ثبت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نام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انتخابات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درخواست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گذرنامه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دومین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قسم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عاملیت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استیفا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شناخته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اقدامات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منظر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بیشتر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اوقات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پذیرفته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محدود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ممکن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قوانین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بتوانند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مالک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اقدامات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خرید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فروش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شناخته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یعنی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انسان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عاملیت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بنابراین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زیرمجموعه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شناخته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زیرمجموعه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تفکیک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مفهوم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ذهنی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مناقشه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برخلاف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انگاشته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ذهنی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پدیده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عینی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علمی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طبیعی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ذهنی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منوط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بافت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اجتماعی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سیاسی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رشته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حرفه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رویه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مختلف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ذهنی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متفاوت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ارزیابی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A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۱۵.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گزارش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کمیته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امروز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مفهوم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ذهنی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اغلب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دلیل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ذهن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اختلال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تلقی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گردد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سلب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صرفا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تشخیص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اختلال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ذهن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رویکرد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وضعیت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محور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نتایج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منفی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حساب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آید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رویکرد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نتیجه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محور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ضعیف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ناکارآمد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قلمداد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رویکرد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عملکرد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محور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رویکرد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عملکرد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محور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ذهنی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ارزیابی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نتیجه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ارزیابی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گردد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بیشتر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اوقات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ارزیابی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ماهیت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نتایج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فهمد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اطلاعات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مرتبط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ارزیابی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رویکرد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دلیل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نادرست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اولا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آمیز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ثانیا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کارکرد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ذهن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انسان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ارزیابی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ارزیابی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قبول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بنیادین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انکار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رویکرد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دلیل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پایین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آوردن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حساب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آید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سلب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آمیز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C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۳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</w:t>
      </w:r>
    </w:p>
    <w:p w:rsidR="00000000" w:rsidDel="00000000" w:rsidP="00000000" w:rsidRDefault="00000000" w:rsidRPr="00000000" w14:paraId="0000002E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۱۶.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۳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پرهیز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سازد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تصمیماتی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اتخاذ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واجد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F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۱۷.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اولویت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گیرد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هیچ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۳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مشخص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. «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» </w:t>
      </w:r>
      <w:r w:rsidDel="00000000" w:rsidR="00000000" w:rsidRPr="00000000">
        <w:rPr>
          <w:sz w:val="24"/>
          <w:szCs w:val="24"/>
          <w:rtl w:val="1"/>
        </w:rPr>
        <w:t xml:space="preserve">تعبیر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گسترده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تدابیر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غیررسمی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انواع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ومیزان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متفاوت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مثلا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اطمینان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انتخاب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انواع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خواستار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اشکال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گرفتن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همتایان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ترویج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گری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ترویج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گرفتن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برقراری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ارتباط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تمهیدات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طراحی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فراگیر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پذیری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مربوط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مثلا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نهاد</w:t>
      </w:r>
      <w:r w:rsidDel="00000000" w:rsidR="00000000" w:rsidRPr="00000000">
        <w:rPr>
          <w:sz w:val="24"/>
          <w:szCs w:val="24"/>
          <w:rtl w:val="1"/>
        </w:rPr>
        <w:t xml:space="preserve">‍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عمومی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خصوصی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قبیل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بانک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موسسات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مالی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اعتباری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ارائه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اطلاعات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آوردن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مترجم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حرفه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زبان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نتیجه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بتوانند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حساب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بانکی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انعقاد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قرارداد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معاملات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اجتماعی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همچنین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گسترش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شناختن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انواع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متنوع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غیرمعمول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ارتباطات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ویژه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کسانی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شکال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غیرکلامی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ارتباط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اولویت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بسیاری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برنامه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ریزی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پیشاپیش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انواع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طریق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ترجیح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ممکن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نتوانند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بگویند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مشارکت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برنامه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ریزی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پیشاپیش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فرصت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کافی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انواع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مختلفی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سازوکارهای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برنامه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ریزی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پیشینی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اولویت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مختلف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ارائه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غیرتبعیض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آمیز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خواهد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فرایند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برنامه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ریزی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پیشینی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تکمیل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کافی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بتواند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بگیرد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دستورالعمل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پیشینی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درآید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متوقف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دستورالعمل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بگنجاند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زمان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توقف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ارزیابی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ذهنی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۱۸. </w:t>
      </w:r>
      <w:r w:rsidDel="00000000" w:rsidR="00000000" w:rsidRPr="00000000">
        <w:rPr>
          <w:sz w:val="24"/>
          <w:szCs w:val="24"/>
          <w:rtl w:val="1"/>
        </w:rPr>
        <w:t xml:space="preserve">نوع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میزان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متفاوت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انواع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تنوع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راستای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۳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«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تفاو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پذیرش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گوناگونی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انسان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بشریت</w:t>
      </w:r>
      <w:r w:rsidDel="00000000" w:rsidR="00000000" w:rsidRPr="00000000">
        <w:rPr>
          <w:sz w:val="24"/>
          <w:szCs w:val="24"/>
          <w:rtl w:val="1"/>
        </w:rPr>
        <w:t xml:space="preserve">»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اصلی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همیشه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وضعیت</w:t>
      </w:r>
      <w:r w:rsidDel="00000000" w:rsidR="00000000" w:rsidRPr="00000000">
        <w:rPr>
          <w:sz w:val="24"/>
          <w:szCs w:val="24"/>
          <w:rtl w:val="1"/>
        </w:rPr>
        <w:t xml:space="preserve">‌ </w:t>
      </w:r>
      <w:r w:rsidDel="00000000" w:rsidR="00000000" w:rsidRPr="00000000">
        <w:rPr>
          <w:sz w:val="24"/>
          <w:szCs w:val="24"/>
          <w:rtl w:val="1"/>
        </w:rPr>
        <w:t xml:space="preserve">اضطراری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خودمختاری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2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۱۹. </w:t>
      </w:r>
      <w:r w:rsidDel="00000000" w:rsidR="00000000" w:rsidRPr="00000000">
        <w:rPr>
          <w:sz w:val="24"/>
          <w:szCs w:val="24"/>
          <w:rtl w:val="1"/>
        </w:rPr>
        <w:t xml:space="preserve">ممکن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بعضی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خواستار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طبق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۲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نخواهند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پیشبینی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3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12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4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۴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</w:t>
      </w:r>
    </w:p>
    <w:p w:rsidR="00000000" w:rsidDel="00000000" w:rsidP="00000000" w:rsidRDefault="00000000" w:rsidRPr="00000000" w14:paraId="00000036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۲۰.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۴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۴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همراه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تفسیر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مناسب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موثری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ایجاد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هدف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اولویت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بدین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منظور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تضمینات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پیشبینی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مقابل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سوءاستفاده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7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۲۱.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موقعیتی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تلاش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فراوان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نمی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اولویت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روش</w:t>
      </w:r>
      <w:r w:rsidDel="00000000" w:rsidR="00000000" w:rsidRPr="00000000">
        <w:rPr>
          <w:sz w:val="24"/>
          <w:szCs w:val="24"/>
          <w:rtl w:val="1"/>
        </w:rPr>
        <w:t xml:space="preserve"> «</w:t>
      </w:r>
      <w:r w:rsidDel="00000000" w:rsidR="00000000" w:rsidRPr="00000000">
        <w:rPr>
          <w:sz w:val="24"/>
          <w:szCs w:val="24"/>
          <w:rtl w:val="1"/>
        </w:rPr>
        <w:t xml:space="preserve">بهترین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تفسیر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اولویت</w:t>
      </w:r>
      <w:r w:rsidDel="00000000" w:rsidR="00000000" w:rsidRPr="00000000">
        <w:rPr>
          <w:sz w:val="24"/>
          <w:szCs w:val="24"/>
          <w:rtl w:val="1"/>
        </w:rPr>
        <w:t xml:space="preserve">»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تعیین</w:t>
      </w:r>
      <w:r w:rsidDel="00000000" w:rsidR="00000000" w:rsidRPr="00000000">
        <w:rPr>
          <w:sz w:val="24"/>
          <w:szCs w:val="24"/>
          <w:rtl w:val="1"/>
        </w:rPr>
        <w:t xml:space="preserve"> «</w:t>
      </w:r>
      <w:r w:rsidDel="00000000" w:rsidR="00000000" w:rsidRPr="00000000">
        <w:rPr>
          <w:sz w:val="24"/>
          <w:szCs w:val="24"/>
          <w:rtl w:val="1"/>
        </w:rPr>
        <w:t xml:space="preserve">مصالح</w:t>
      </w:r>
      <w:r w:rsidDel="00000000" w:rsidR="00000000" w:rsidRPr="00000000">
        <w:rPr>
          <w:sz w:val="24"/>
          <w:szCs w:val="24"/>
          <w:rtl w:val="1"/>
        </w:rPr>
        <w:t xml:space="preserve">»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اولویت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طبق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۴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گذاشته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اجرای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اصل</w:t>
      </w:r>
      <w:r w:rsidDel="00000000" w:rsidR="00000000" w:rsidRPr="00000000">
        <w:rPr>
          <w:sz w:val="24"/>
          <w:szCs w:val="24"/>
          <w:rtl w:val="1"/>
        </w:rPr>
        <w:t xml:space="preserve"> «</w:t>
      </w:r>
      <w:r w:rsidDel="00000000" w:rsidR="00000000" w:rsidRPr="00000000">
        <w:rPr>
          <w:sz w:val="24"/>
          <w:szCs w:val="24"/>
          <w:rtl w:val="1"/>
        </w:rPr>
        <w:t xml:space="preserve">مصالح</w:t>
      </w:r>
      <w:r w:rsidDel="00000000" w:rsidR="00000000" w:rsidRPr="00000000">
        <w:rPr>
          <w:sz w:val="24"/>
          <w:szCs w:val="24"/>
          <w:rtl w:val="1"/>
        </w:rPr>
        <w:t xml:space="preserve">»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بالغ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منطبق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الگوی</w:t>
      </w:r>
      <w:r w:rsidDel="00000000" w:rsidR="00000000" w:rsidRPr="00000000">
        <w:rPr>
          <w:sz w:val="24"/>
          <w:szCs w:val="24"/>
          <w:rtl w:val="1"/>
        </w:rPr>
        <w:t xml:space="preserve"> «</w:t>
      </w:r>
      <w:r w:rsidDel="00000000" w:rsidR="00000000" w:rsidRPr="00000000">
        <w:rPr>
          <w:sz w:val="24"/>
          <w:szCs w:val="24"/>
          <w:rtl w:val="1"/>
        </w:rPr>
        <w:t xml:space="preserve">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اولویت</w:t>
      </w:r>
      <w:r w:rsidDel="00000000" w:rsidR="00000000" w:rsidRPr="00000000">
        <w:rPr>
          <w:sz w:val="24"/>
          <w:szCs w:val="24"/>
          <w:rtl w:val="1"/>
        </w:rPr>
        <w:t xml:space="preserve">»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الگوی</w:t>
      </w:r>
      <w:r w:rsidDel="00000000" w:rsidR="00000000" w:rsidRPr="00000000">
        <w:rPr>
          <w:sz w:val="24"/>
          <w:szCs w:val="24"/>
          <w:rtl w:val="1"/>
        </w:rPr>
        <w:t xml:space="preserve"> «</w:t>
      </w:r>
      <w:r w:rsidDel="00000000" w:rsidR="00000000" w:rsidRPr="00000000">
        <w:rPr>
          <w:sz w:val="24"/>
          <w:szCs w:val="24"/>
          <w:rtl w:val="1"/>
        </w:rPr>
        <w:t xml:space="preserve">تشخیص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مصالح</w:t>
      </w:r>
      <w:r w:rsidDel="00000000" w:rsidR="00000000" w:rsidRPr="00000000">
        <w:rPr>
          <w:sz w:val="24"/>
          <w:szCs w:val="24"/>
          <w:rtl w:val="1"/>
        </w:rPr>
        <w:t xml:space="preserve">»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بهره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مندی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گردد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9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۲۲.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معرض</w:t>
      </w:r>
      <w:r w:rsidDel="00000000" w:rsidR="00000000" w:rsidRPr="00000000">
        <w:rPr>
          <w:sz w:val="24"/>
          <w:szCs w:val="24"/>
          <w:rtl w:val="1"/>
        </w:rPr>
        <w:t xml:space="preserve"> «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نفوذ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حد</w:t>
      </w:r>
      <w:r w:rsidDel="00000000" w:rsidR="00000000" w:rsidRPr="00000000">
        <w:rPr>
          <w:sz w:val="24"/>
          <w:szCs w:val="24"/>
          <w:rtl w:val="1"/>
        </w:rPr>
        <w:t xml:space="preserve">»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خطر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"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نفوذ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حد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وقتی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اتفاق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افتد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کیفیت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علایمی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ترس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پرخاش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تهدید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فریب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سلطه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جویی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مشاهده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تضمینات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پیشبینی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نفوذ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اولویت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پذیرش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خطر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اشتباه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B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۵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</w:t>
      </w:r>
    </w:p>
    <w:p w:rsidR="00000000" w:rsidDel="00000000" w:rsidP="00000000" w:rsidRDefault="00000000" w:rsidRPr="00000000" w14:paraId="0000003D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۲۳.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۵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مقرر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تدابیر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اداری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قضایی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اقتصادی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بگیرند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طبق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رویکرد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پزشکی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منابع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طبق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۳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۱۲، </w:t>
      </w:r>
      <w:r w:rsidDel="00000000" w:rsidR="00000000" w:rsidRPr="00000000">
        <w:rPr>
          <w:sz w:val="24"/>
          <w:szCs w:val="24"/>
          <w:rtl w:val="1"/>
        </w:rPr>
        <w:t xml:space="preserve">رویکرد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همان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طور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جنسیت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حوزه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،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E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سوم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تعهدات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</w:p>
    <w:p w:rsidR="00000000" w:rsidDel="00000000" w:rsidP="00000000" w:rsidRDefault="00000000" w:rsidRPr="00000000" w14:paraId="00000040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۲۴.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نسبت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عهده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تعهد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تعهد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صیانت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مراقبت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ارتباط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اقدامی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پرهیز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مداخله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عوامل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غیردولتی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خصوصی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بهره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مندی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اقدامات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آورند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یکی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اهداف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تقویت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اعتماد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آینده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بتوانند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آموزش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ایشان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بتوانند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بگیرند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کمتری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اصلا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1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۲۵.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</w:t>
      </w:r>
      <w:r w:rsidDel="00000000" w:rsidR="00000000" w:rsidRPr="00000000">
        <w:rPr>
          <w:sz w:val="24"/>
          <w:szCs w:val="24"/>
          <w:rtl w:val="1"/>
        </w:rPr>
        <w:t xml:space="preserve"> «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جانبه</w:t>
      </w:r>
      <w:r w:rsidDel="00000000" w:rsidR="00000000" w:rsidRPr="00000000">
        <w:rPr>
          <w:sz w:val="24"/>
          <w:szCs w:val="24"/>
          <w:rtl w:val="1"/>
        </w:rPr>
        <w:t xml:space="preserve">»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صرفنظر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ذاتی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برخوردار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باشند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مواردی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هدف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وضع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آمیز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لغو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3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۲۶. </w:t>
      </w:r>
      <w:r w:rsidDel="00000000" w:rsidR="00000000" w:rsidRPr="00000000">
        <w:rPr>
          <w:sz w:val="24"/>
          <w:szCs w:val="24"/>
          <w:rtl w:val="1"/>
        </w:rPr>
        <w:t xml:space="preserve">کمیته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بارها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ملاحظات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گزارش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رابطه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اظهار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«</w:t>
      </w:r>
      <w:r w:rsidDel="00000000" w:rsidR="00000000" w:rsidRPr="00000000">
        <w:rPr>
          <w:sz w:val="24"/>
          <w:szCs w:val="24"/>
          <w:rtl w:val="1"/>
        </w:rPr>
        <w:t xml:space="preserve">قوانینی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اجازه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قیمومت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سرپرستی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دهند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قوانین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سیاست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تدوین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همراه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مبتنی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خودمختاری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اولویت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4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۲۷.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ممکن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اشکال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مختلفی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قیمومت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نصب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قیمومت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نسبی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سرپرستی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امور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ویژگی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مشترکی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ویژگی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برشمرد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الف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رابطه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؛ (</w:t>
      </w: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)‌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توسط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منصوب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ممکن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پ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تشخیص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«</w:t>
      </w:r>
      <w:r w:rsidDel="00000000" w:rsidR="00000000" w:rsidRPr="00000000">
        <w:rPr>
          <w:sz w:val="24"/>
          <w:szCs w:val="24"/>
          <w:rtl w:val="1"/>
        </w:rPr>
        <w:t xml:space="preserve">مصلحت</w:t>
      </w:r>
      <w:r w:rsidDel="00000000" w:rsidR="00000000" w:rsidRPr="00000000">
        <w:rPr>
          <w:sz w:val="24"/>
          <w:szCs w:val="24"/>
          <w:rtl w:val="1"/>
        </w:rPr>
        <w:t xml:space="preserve">»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اتخاذ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ترجیح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ارتباطی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5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۲۸. </w:t>
      </w:r>
      <w:r w:rsidDel="00000000" w:rsidR="00000000" w:rsidRPr="00000000">
        <w:rPr>
          <w:sz w:val="24"/>
          <w:szCs w:val="24"/>
          <w:rtl w:val="1"/>
        </w:rPr>
        <w:t xml:space="preserve">تعهد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همراه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لغو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شیوه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بسط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همراه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حفظ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کافی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نیست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7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۲۹.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همراه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گزینه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مختلف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ترجیح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هنجارهای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اولویت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مرتبط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خودمختاری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انتخاب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غیره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مربوط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سوءاستفاده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بدرفتاری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حیات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جسمانی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غیره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پوشش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علاوه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همراه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مقررات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سنگین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اندازه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گیرد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همراه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ممکن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اشکال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مختلفی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مفاد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12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مقررات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کلیدی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ضروری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9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الف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همراه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میزان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خصوص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نباید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مانع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دریافت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4A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اشکال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اشکال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جدی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اولویت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مصلحت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عینی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انگاشته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4B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پ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شیوه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ارتباط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مانع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دریافت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ارتباط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غیرمعمول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فقط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توسط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محدودی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فهمیده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4C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وقتی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انتخاب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سند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مربوط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انتخاب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برخورداری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ویژه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انزوای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اجتماعی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طبیعی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خودجوش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اطرافیان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ایجاد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مکانیسم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تایید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هویت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ثالث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ثالث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مطابق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اولویت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بتوانند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اقدامات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چالش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بکشند</w:t>
      </w:r>
      <w:r w:rsidDel="00000000" w:rsidR="00000000" w:rsidRPr="00000000">
        <w:rPr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4D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ث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محتوای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۳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«</w:t>
      </w:r>
      <w:r w:rsidDel="00000000" w:rsidR="00000000" w:rsidRPr="00000000">
        <w:rPr>
          <w:sz w:val="24"/>
          <w:szCs w:val="24"/>
          <w:rtl w:val="1"/>
        </w:rPr>
        <w:t xml:space="preserve">تامین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»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توسط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رایگان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هزینه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نبود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منابع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مانع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4E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ج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دستاویزی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محدود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بنیادین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گیرد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ویژه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ازدواج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مشترک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تشکیل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خانواده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تولیدمثلی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حضانت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سرپرستی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رضایت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روابط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نزدیک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پزشکی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آزادی</w:t>
      </w:r>
      <w:r w:rsidDel="00000000" w:rsidR="00000000" w:rsidRPr="00000000">
        <w:rPr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4F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چ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فردی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بتواند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دریافت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انصراف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رابطه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قطع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تغییر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50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ح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تضمینات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نظارتی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فرایند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مربوط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دریافت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گرفته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هدف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وضع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نظارتی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اولویت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باشند</w:t>
      </w:r>
      <w:r w:rsidDel="00000000" w:rsidR="00000000" w:rsidRPr="00000000">
        <w:rPr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51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خ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تامین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شرایط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منوط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ارزیابی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ذهنی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شاخص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جدید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غیرتبعیض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آمیزی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تشخیص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دریافت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تعریف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2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۳۰. </w:t>
      </w:r>
      <w:r w:rsidDel="00000000" w:rsidR="00000000" w:rsidRPr="00000000">
        <w:rPr>
          <w:sz w:val="24"/>
          <w:szCs w:val="24"/>
          <w:rtl w:val="1"/>
        </w:rPr>
        <w:t xml:space="preserve">مدت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مدیدی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سیاسی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شناخته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ریشه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میثاق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المللی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سیاسی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سیاسی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پیوست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تصویب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ترتیب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آمده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تصویب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الزام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آور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درآیند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تعهد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۳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آمده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بخشی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ایفای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سیاسی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«</w:t>
      </w:r>
      <w:r w:rsidDel="00000000" w:rsidR="00000000" w:rsidRPr="00000000">
        <w:rPr>
          <w:sz w:val="24"/>
          <w:szCs w:val="24"/>
          <w:rtl w:val="1"/>
        </w:rPr>
        <w:t xml:space="preserve">تحقق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تدریجی</w:t>
      </w:r>
      <w:r w:rsidDel="00000000" w:rsidR="00000000" w:rsidRPr="00000000">
        <w:rPr>
          <w:sz w:val="24"/>
          <w:szCs w:val="24"/>
          <w:rtl w:val="1"/>
        </w:rPr>
        <w:t xml:space="preserve">» </w:t>
      </w:r>
      <w:r w:rsidDel="00000000" w:rsidR="00000000" w:rsidRPr="00000000">
        <w:rPr>
          <w:sz w:val="24"/>
          <w:szCs w:val="24"/>
          <w:rtl w:val="1"/>
        </w:rPr>
        <w:t xml:space="preserve">مذکور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۲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۴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تصویب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مذکور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گام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بردارند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گام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آگاهانه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حساب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برنامه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ریزی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مشارکت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معنادار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سازمان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ایشان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4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چهارم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ارتباط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</w:p>
    <w:p w:rsidR="00000000" w:rsidDel="00000000" w:rsidP="00000000" w:rsidRDefault="00000000" w:rsidRPr="00000000" w14:paraId="00000056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۳۱.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بهره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مندی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بسیاری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مذکور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تفکیک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ناپذیر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خورده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دادخواهی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۱۳)ِ،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آزادی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بازداشت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اجباری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آسایشگاه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سلامت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سلامت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روان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۱۴)،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جسمی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روانی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۱۷)، </w:t>
      </w:r>
      <w:r w:rsidDel="00000000" w:rsidR="00000000" w:rsidRPr="00000000">
        <w:rPr>
          <w:sz w:val="24"/>
          <w:szCs w:val="24"/>
          <w:rtl w:val="1"/>
        </w:rPr>
        <w:t xml:space="preserve">آزادی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تردد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تابعیت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۱۸)،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انتخاب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سکونت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۱۹)،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آزادی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بیان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۲۱)،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ازدواج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تشکیل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خانواده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۲۳)،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رضایت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پزشکی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۲۵)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داوطلب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انتخابات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۲۹). </w:t>
      </w:r>
      <w:r w:rsidDel="00000000" w:rsidR="00000000" w:rsidRPr="00000000">
        <w:rPr>
          <w:sz w:val="24"/>
          <w:szCs w:val="24"/>
          <w:rtl w:val="1"/>
        </w:rPr>
        <w:t xml:space="preserve">بدون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ادعا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بسیاری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تاثیر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7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۵: </w:t>
      </w:r>
      <w:r w:rsidDel="00000000" w:rsidR="00000000" w:rsidRPr="00000000">
        <w:rPr>
          <w:sz w:val="24"/>
          <w:szCs w:val="24"/>
          <w:rtl w:val="1"/>
        </w:rPr>
        <w:t xml:space="preserve">برابری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</w:p>
    <w:p w:rsidR="00000000" w:rsidDel="00000000" w:rsidP="00000000" w:rsidRDefault="00000000" w:rsidRPr="00000000" w14:paraId="00000059">
      <w:pPr>
        <w:bidi w:val="1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۳۲.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دلایل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آمیز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۵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برخورداری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انواع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صراحت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ممنوع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۲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تعریف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: «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رگونه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تمایز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استثناء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محدودیت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هدف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نتیجه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سلب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تحدید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ِ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عمال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کلیه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بنیادین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.»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نفی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اهلیت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هدف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اثر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مداخله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پیشگاه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قانون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نقض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۵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۱۲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اختیار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شرایط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مشخص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ورشکستگی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محکومیت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کیفری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اهلیت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فرد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محدود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پیشگاه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قانون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ایجاب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وقتی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اهلیت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شخصی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سلب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پذیرش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سلب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اهلیت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نباید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ویژگی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شخصی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جنسیت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نژاد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اثر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هدف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برخورد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متفاوت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شخص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خاصی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5A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۳۳. </w:t>
      </w:r>
      <w:r w:rsidDel="00000000" w:rsidR="00000000" w:rsidRPr="00000000">
        <w:rPr>
          <w:sz w:val="24"/>
          <w:szCs w:val="24"/>
          <w:rtl w:val="1"/>
        </w:rPr>
        <w:t xml:space="preserve">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شناختن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احیای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خودمختاری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انسانی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مطابق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اصول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مذکور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۳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بیشتر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آزادی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استقلال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خودمختاری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لحاظ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نیاز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امکانات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متعارف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استناد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گیرد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تفاوت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پذیرش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گوناگونی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انسان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بشریت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۳)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اختصاص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مشابهت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ناسازگار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C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۳۴. </w:t>
      </w:r>
      <w:r w:rsidDel="00000000" w:rsidR="00000000" w:rsidRPr="00000000">
        <w:rPr>
          <w:sz w:val="24"/>
          <w:szCs w:val="24"/>
          <w:rtl w:val="1"/>
        </w:rPr>
        <w:t xml:space="preserve">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برخورداری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امکانات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متعارف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۳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۵)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امکانات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متعارف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۲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تعریف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«</w:t>
      </w:r>
      <w:r w:rsidDel="00000000" w:rsidR="00000000" w:rsidRPr="00000000">
        <w:rPr>
          <w:sz w:val="24"/>
          <w:szCs w:val="24"/>
          <w:rtl w:val="1"/>
        </w:rPr>
        <w:t xml:space="preserve">اصلاحات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تغییرات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مناسب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بهره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مندی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آزادی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بنیادین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سایرین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بدون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اصلاحات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تغییرات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تحمیل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فشار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نامتناسب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.»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امکانات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متعارف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گرفتن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متمایز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تکمیل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موظفند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اصلاح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تغییری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تحمیل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فشار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نامتناسب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نمونه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اصلاحات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تغییرات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تامین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ساختمان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دادگاه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بانک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دفاتر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اجتماعی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آرا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اطلاعات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آثار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برخورداری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ادعای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ایجاد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فشار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نامتناسب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محدود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مطلق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E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۶: </w:t>
      </w:r>
      <w:r w:rsidDel="00000000" w:rsidR="00000000" w:rsidRPr="00000000">
        <w:rPr>
          <w:sz w:val="24"/>
          <w:szCs w:val="24"/>
          <w:rtl w:val="1"/>
        </w:rPr>
        <w:t xml:space="preserve">زنان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</w:p>
    <w:p w:rsidR="00000000" w:rsidDel="00000000" w:rsidP="00000000" w:rsidRDefault="00000000" w:rsidRPr="00000000" w14:paraId="00000060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۳۵.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۱۵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اشکال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زنان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ایشان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مردان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تاکید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اذعان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: «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مردان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فرصت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گیرند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ویژه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انعقاد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قرارداد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مدیریت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بدهند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مراحل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رسیدگی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دادگاه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آیین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رسیدگی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.» (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۲)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موضوع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شناخته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ممکن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معرض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اشکال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مضاعف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چندوجهی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جنسیت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گیرند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مثال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زنان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معرض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عقیم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سازی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اجباری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کنترل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سلامت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تولیدمثلی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زمینه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پذیرفته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رضایت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رابطه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جنسی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نیستند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حوزه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نرخ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تحمیل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مردان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ترتیب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تاکید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دوباره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موضوع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ویژه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شناخته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1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۷: </w:t>
      </w:r>
      <w:r w:rsidDel="00000000" w:rsidR="00000000" w:rsidRPr="00000000">
        <w:rPr>
          <w:sz w:val="24"/>
          <w:szCs w:val="24"/>
          <w:rtl w:val="1"/>
        </w:rPr>
        <w:t xml:space="preserve">کودکان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</w:p>
    <w:p w:rsidR="00000000" w:rsidDel="00000000" w:rsidP="00000000" w:rsidRDefault="00000000" w:rsidRPr="00000000" w14:paraId="00000063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۳۶.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۷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توانایی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کودکان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شناخته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مقرر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«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اقدامات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مربوط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کودکان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مصالح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کودک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اولویت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باشند</w:t>
      </w:r>
      <w:r w:rsidDel="00000000" w:rsidR="00000000" w:rsidRPr="00000000">
        <w:rPr>
          <w:sz w:val="24"/>
          <w:szCs w:val="24"/>
          <w:rtl w:val="1"/>
        </w:rPr>
        <w:t xml:space="preserve">» (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۲) 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«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بلوغ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دیدگاه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هایشان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کافی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» (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۳).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رعایت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قوانین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بازبینی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اولویت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کودکان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کودکان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4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۹: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پذیری</w:t>
      </w:r>
    </w:p>
    <w:p w:rsidR="00000000" w:rsidDel="00000000" w:rsidP="00000000" w:rsidRDefault="00000000" w:rsidRPr="00000000" w14:paraId="00000066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۳۷.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آمده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ارتباط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نزدیکی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تعهدات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برخاسته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۹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خصوص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پذیری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چرا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مستقل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مشارکت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ابعاد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۹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رفع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موانع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مجموعه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نبود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اطلاعات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ارتباطات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غیرقابل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تواند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مانع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بعضی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دلیل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فرایند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اطلاعات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ارتباطات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مربوط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قوانین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رویه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بازبینی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اطمینان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پذیری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7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۱۳: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دادخواهی</w:t>
      </w:r>
    </w:p>
    <w:p w:rsidR="00000000" w:rsidDel="00000000" w:rsidP="00000000" w:rsidRDefault="00000000" w:rsidRPr="00000000" w14:paraId="00000069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۳۸.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دادخواهی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بسیاری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دادخواهی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ضروری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تعهدات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دادگاه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شوراها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شناخته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همچنین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وکیل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نماینده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بسیاری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اقدام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محدود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فرصت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طریق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وکیل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تحدید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چالش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بکشند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دفاع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اغلب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نقش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وکیل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قاضی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شاهد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اعضای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هیات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منصفه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دادگستری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گذاشته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A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۳۹. </w:t>
      </w:r>
      <w:r w:rsidDel="00000000" w:rsidR="00000000" w:rsidRPr="00000000">
        <w:rPr>
          <w:sz w:val="24"/>
          <w:szCs w:val="24"/>
          <w:rtl w:val="1"/>
        </w:rPr>
        <w:t xml:space="preserve">اعضای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پلیس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مددکاران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اجتماعی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کارکنان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اضطراری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آموزش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ببینند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بشناسند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شکایات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اظهارات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غیرمعلول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رسیدگی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منظور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مشاغل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آموزش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آگاهی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بخشی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همچنین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بتوانند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شهادت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متضمن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صلاحیت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شهادت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رسیدگی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قضایی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اداری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اشکال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مختلف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شناختن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شیوه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مختلف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ارتباطی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پذیرفتن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شهادت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ویدیویی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ویژه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تامین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امکانات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متعارف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زمینه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تشریفات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رسیدگی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تامین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مترجم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حرفه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زبان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شیوه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کمکی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قوه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قضاییه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زمینه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ایشان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آموزش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آگاهی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C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۱۴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۲۵: </w:t>
      </w:r>
      <w:r w:rsidDel="00000000" w:rsidR="00000000" w:rsidRPr="00000000">
        <w:rPr>
          <w:sz w:val="24"/>
          <w:szCs w:val="24"/>
          <w:rtl w:val="1"/>
        </w:rPr>
        <w:t xml:space="preserve">آزادی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امنیت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رضایت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6E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۴۰.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دربرگیرنده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آزادی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امنیت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نپذیرفتن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نگهداشتن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آسایشگاه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برخلاف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خواست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شان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رضایت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رضایت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فراگیر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چنین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اقدامی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مصداق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ساختن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خودسرانه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آزادی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ناقض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مواد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۱۴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رویه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پرهیز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سازوکاری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رسیدگی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بستری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آسایشگاه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رضایت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گیرند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F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۴۱.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بهره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مندی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بالاترین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سطح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سلامت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۲۵) </w:t>
      </w:r>
      <w:r w:rsidDel="00000000" w:rsidR="00000000" w:rsidRPr="00000000">
        <w:rPr>
          <w:sz w:val="24"/>
          <w:szCs w:val="24"/>
          <w:rtl w:val="1"/>
        </w:rPr>
        <w:t xml:space="preserve">دربرگیرنده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سلامت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رضایت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آگاهانه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آزاد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اندرکاران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سلامت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پزشکی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سلامت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روان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درمانی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رضایت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آگاهانه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آزاد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همچنین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راستای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سایرین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اجازه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ندهند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رضایت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کارکنان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سلامت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پزشکی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اطمینان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فرایند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مشاوره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پزشکی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مناسب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مداخله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مستقیم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همچنین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همراه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فشار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71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مواد</w:t>
      </w:r>
      <w:r w:rsidDel="00000000" w:rsidR="00000000" w:rsidRPr="00000000">
        <w:rPr>
          <w:sz w:val="24"/>
          <w:szCs w:val="24"/>
          <w:rtl w:val="1"/>
        </w:rPr>
        <w:t xml:space="preserve"> ۱۵، ۱۶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۱۷: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انسانی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شکنجه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خشونت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بهره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سوءاستفاده</w:t>
      </w:r>
    </w:p>
    <w:p w:rsidR="00000000" w:rsidDel="00000000" w:rsidP="00000000" w:rsidRDefault="00000000" w:rsidRPr="00000000" w14:paraId="00000073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۴۲. </w:t>
      </w:r>
      <w:r w:rsidDel="00000000" w:rsidR="00000000" w:rsidRPr="00000000">
        <w:rPr>
          <w:sz w:val="24"/>
          <w:szCs w:val="24"/>
          <w:rtl w:val="1"/>
        </w:rPr>
        <w:t xml:space="preserve">چنانچه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کمیته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بسیاری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ملاحظات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اجباری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توسط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متخصصان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سلامت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روان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اعضای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بهداشت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نقض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تجاوز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انسانی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۱۷)،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شکنجه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۱۵)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خشونت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بهره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سوءاستفاده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۱۶)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چنین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رویکردی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انتخاب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پزشکی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نتیجه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نقض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اضطرار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بگذارند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اطلاعات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دقیق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اشکال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انواع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اختیار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گیرد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راه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غیرپزشکی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مستقل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ملزمند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مربوط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درمان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روانپزشکی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پزشکی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ویژه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روان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ذهنی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شناختی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اجباری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سیاست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مقررات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اجازه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اجباری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دهند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لغو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جالب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شواهد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میدانی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ناموثر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شیوه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درمان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اجباری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سلامت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تجربه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تلخ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دردناکی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شیوه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قوانین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سراسر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دنیا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جریان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کمیته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توصیه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مربوط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جسمی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رضایت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آزاد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آگاهانه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74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۱۸: </w:t>
      </w:r>
      <w:r w:rsidDel="00000000" w:rsidR="00000000" w:rsidRPr="00000000">
        <w:rPr>
          <w:sz w:val="24"/>
          <w:szCs w:val="24"/>
          <w:rtl w:val="1"/>
        </w:rPr>
        <w:t xml:space="preserve">تابعیت</w:t>
      </w:r>
    </w:p>
    <w:p w:rsidR="00000000" w:rsidDel="00000000" w:rsidP="00000000" w:rsidRDefault="00000000" w:rsidRPr="00000000" w14:paraId="00000076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۴۳.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ثبت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تولد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برخوردار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۲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۱۸).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تدابیر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ثبت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تولد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کودکان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گیرند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کودک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۷)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ثبت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تولد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کودکان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نسبت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کودکان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ثبت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مانع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شهروندی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کودکان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اوقات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مانع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سلامت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آموزش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آنجا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هیچ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بایگانی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کودکان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مرگ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ممکن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نسبت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مجازات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بماند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77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۱۹: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مستقل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حضور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جامعه</w:t>
      </w:r>
      <w:r w:rsidDel="00000000" w:rsidR="00000000" w:rsidRPr="00000000">
        <w:rPr>
          <w:sz w:val="24"/>
          <w:szCs w:val="24"/>
          <w:rtl w:val="1"/>
        </w:rPr>
        <w:t xml:space="preserve">  </w:t>
      </w:r>
    </w:p>
    <w:p w:rsidR="00000000" w:rsidDel="00000000" w:rsidP="00000000" w:rsidRDefault="00000000" w:rsidRPr="00000000" w14:paraId="00000079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۴۴.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مذکور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فرصت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اولویت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برخوردار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بتوانند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یعنی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فرصت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مستقل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جامعه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انتخاب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کنترل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روزمره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مطابق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۱۹ </w:t>
      </w:r>
      <w:r w:rsidDel="00000000" w:rsidR="00000000" w:rsidRPr="00000000">
        <w:rPr>
          <w:sz w:val="24"/>
          <w:szCs w:val="24"/>
          <w:rtl w:val="1"/>
        </w:rPr>
        <w:t xml:space="preserve">برخوردار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7A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0"/>
        </w:rPr>
        <w:t xml:space="preserve">۴۵.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گرفتن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حضور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جامعه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۱۹) </w:t>
      </w:r>
      <w:r w:rsidDel="00000000" w:rsidR="00000000" w:rsidRPr="00000000">
        <w:rPr>
          <w:sz w:val="24"/>
          <w:szCs w:val="24"/>
          <w:rtl w:val="1"/>
        </w:rPr>
        <w:t xml:space="preserve">تفسیر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۳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چنین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خواهد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رویکرد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اجتماع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موضوع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بشناسند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جوامع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سرمایه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حساب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آیند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یافتن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شریک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محسوب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جامعه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مواردی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آگاهی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انواع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مختلف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بپذیرند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شبکه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اجتماعی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اجتماعی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خودجوش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مثل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گروه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دوستان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خانواده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مدرسه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کلید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تاکید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حضور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مشارکت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اجتماع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خوان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7C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۴۶. </w:t>
      </w:r>
      <w:r w:rsidDel="00000000" w:rsidR="00000000" w:rsidRPr="00000000">
        <w:rPr>
          <w:sz w:val="24"/>
          <w:szCs w:val="24"/>
          <w:rtl w:val="1"/>
        </w:rPr>
        <w:t xml:space="preserve">جداسازی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سایرین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آسایشگاه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سازمان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مشکلات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فراگیر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پنهانی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نقض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پذیرش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تشدید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فرصت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بستری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آسایشگاه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سازمان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رضایت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علاوه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معمول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بستری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سازمان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مدیران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تفویض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وضعیت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یعنی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اختیار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کنترل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سازمان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رعایت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شیوه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سپردن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سازمان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حذف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ایشان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بتوانند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انتخاب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کسانی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کجا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۱۹). </w:t>
      </w:r>
      <w:r w:rsidDel="00000000" w:rsidR="00000000" w:rsidRPr="00000000">
        <w:rPr>
          <w:sz w:val="24"/>
          <w:szCs w:val="24"/>
          <w:rtl w:val="1"/>
        </w:rPr>
        <w:t xml:space="preserve">انتخاب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همراه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تاثیر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گذارد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7E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۲۲: </w:t>
      </w:r>
      <w:r w:rsidDel="00000000" w:rsidR="00000000" w:rsidRPr="00000000">
        <w:rPr>
          <w:sz w:val="24"/>
          <w:szCs w:val="24"/>
          <w:rtl w:val="1"/>
        </w:rPr>
        <w:t xml:space="preserve">حریم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خصوصی</w:t>
      </w:r>
    </w:p>
    <w:p w:rsidR="00000000" w:rsidDel="00000000" w:rsidP="00000000" w:rsidRDefault="00000000" w:rsidRPr="00000000" w14:paraId="00000080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۴۷.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خوان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زمینه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نقض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خصوصی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چراکه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گیرندگان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معمول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حجم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وسیعی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اطلاعات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اطلاعات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مربوط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ایجاد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‌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کسانی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خصوصی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ایشان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بگذارند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81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۲۹: </w:t>
      </w:r>
      <w:r w:rsidDel="00000000" w:rsidR="00000000" w:rsidRPr="00000000">
        <w:rPr>
          <w:sz w:val="24"/>
          <w:szCs w:val="24"/>
          <w:rtl w:val="1"/>
        </w:rPr>
        <w:t xml:space="preserve">مشارکت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سیاسی</w:t>
      </w:r>
    </w:p>
    <w:p w:rsidR="00000000" w:rsidDel="00000000" w:rsidP="00000000" w:rsidRDefault="00000000" w:rsidRPr="00000000" w14:paraId="00000083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۴۸. </w:t>
      </w:r>
      <w:r w:rsidDel="00000000" w:rsidR="00000000" w:rsidRPr="00000000">
        <w:rPr>
          <w:sz w:val="24"/>
          <w:szCs w:val="24"/>
          <w:rtl w:val="1"/>
        </w:rPr>
        <w:t xml:space="preserve">سلب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محدود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جلوگیری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مشارکت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سیاسی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خصوص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ابعاد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عمومی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سیاسی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۲۹).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دستاویزی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سیاسی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نامزد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هیات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منصفه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84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۴۹.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هیچ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مخفی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شرکت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انتخابات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پرسی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علاوه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کمیته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توصیه</w:t>
      </w:r>
      <w:r w:rsidDel="00000000" w:rsidR="00000000" w:rsidRPr="00000000">
        <w:rPr>
          <w:sz w:val="24"/>
          <w:szCs w:val="24"/>
          <w:rtl w:val="1"/>
        </w:rPr>
        <w:t xml:space="preserve"> ‌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امکانات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متعارف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نامزد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عمومی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سطوح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وظایف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مربوط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مربوطه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6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چهارم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اجرا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سطح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ملی</w:t>
      </w:r>
    </w:p>
    <w:p w:rsidR="00000000" w:rsidDel="00000000" w:rsidP="00000000" w:rsidRDefault="00000000" w:rsidRPr="00000000" w14:paraId="00000088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۵۰.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محتوا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الزاماتی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گفته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اقدامات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دهند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9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الف</w:t>
      </w:r>
      <w:r w:rsidDel="00000000" w:rsidR="00000000" w:rsidRPr="00000000">
        <w:rPr>
          <w:sz w:val="24"/>
          <w:szCs w:val="24"/>
          <w:rtl w:val="1"/>
        </w:rPr>
        <w:t xml:space="preserve">)‌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بشناسند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اشخاصی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ابعاد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برخوردارند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لازمه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لغو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نظام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سازوکارهایی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انکار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هدف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تبعیض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توصیه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مقرراتی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وضع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؛ </w:t>
      </w:r>
    </w:p>
    <w:p w:rsidR="00000000" w:rsidDel="00000000" w:rsidP="00000000" w:rsidRDefault="00000000" w:rsidRPr="00000000" w14:paraId="0000008A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دسترسی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انواع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مختلف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ایجاد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تامین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تضمینات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مبتنی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اراده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اولویت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مبتنی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مذکور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۲۹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تکالیف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رعایت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بند</w:t>
      </w:r>
      <w:r w:rsidDel="00000000" w:rsidR="00000000" w:rsidRPr="00000000">
        <w:rPr>
          <w:sz w:val="24"/>
          <w:szCs w:val="24"/>
          <w:rtl w:val="1"/>
        </w:rPr>
        <w:t xml:space="preserve"> ۳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8B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پ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تدوین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قوانین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سیاست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فرایند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رابطه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 ۱۲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مشارکت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مشاوره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کودکان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طریق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سازمان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نماینده</w:t>
      </w:r>
      <w:r w:rsidDel="00000000" w:rsidR="00000000" w:rsidRPr="00000000">
        <w:rPr>
          <w:sz w:val="24"/>
          <w:szCs w:val="24"/>
          <w:rtl w:val="1"/>
        </w:rPr>
        <w:t xml:space="preserve"> ‌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اقدام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8C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۵۱. </w:t>
      </w:r>
      <w:r w:rsidDel="00000000" w:rsidR="00000000" w:rsidRPr="00000000">
        <w:rPr>
          <w:sz w:val="24"/>
          <w:szCs w:val="24"/>
          <w:rtl w:val="1"/>
        </w:rPr>
        <w:t xml:space="preserve">کمیته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ترغیب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تحقیق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تدوین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خصوص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بهترین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شناسایی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ایشان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منابع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اختصاص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دهند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8E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۵۲. </w:t>
      </w:r>
      <w:r w:rsidDel="00000000" w:rsidR="00000000" w:rsidRPr="00000000">
        <w:rPr>
          <w:sz w:val="24"/>
          <w:szCs w:val="24"/>
          <w:rtl w:val="1"/>
        </w:rPr>
        <w:t xml:space="preserve">کمیته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ترغیب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سازوکارهای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موثری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مبارزه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جایگزین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غیررسمی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ایجاد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منظور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کمیته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دولت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تاکید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تضمین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فرصت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واقعی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برخوردارند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مثال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فرصت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عبارتند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فرصت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ایجاد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شبکه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اجتماعی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فرصت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شغل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درآمد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گزینه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مختلف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حضور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عرصه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آموزشی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سطوح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0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1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92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         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دانلود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فایل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اینجا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دانلود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فایل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اینجا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93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94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</w:t>
      </w:r>
    </w:p>
    <w:p w:rsidR="00000000" w:rsidDel="00000000" w:rsidP="00000000" w:rsidRDefault="00000000" w:rsidRPr="00000000" w14:paraId="00000095">
      <w:pPr>
        <w:bidi w:val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96">
      <w:pPr>
        <w:bidi w:val="1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8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بند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ماده</w:t>
      </w:r>
      <w:r w:rsidDel="00000000" w:rsidR="00000000" w:rsidRPr="00000000">
        <w:rPr>
          <w:sz w:val="20"/>
          <w:szCs w:val="20"/>
          <w:rtl w:val="1"/>
        </w:rPr>
        <w:t xml:space="preserve"> ۱۳ </w:t>
      </w:r>
      <w:r w:rsidDel="00000000" w:rsidR="00000000" w:rsidRPr="00000000">
        <w:rPr>
          <w:sz w:val="20"/>
          <w:szCs w:val="20"/>
          <w:rtl w:val="1"/>
        </w:rPr>
        <w:t xml:space="preserve">کنوانسیون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رفع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تمام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اشکال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تبعیض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علیه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زنان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مراجعه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کنید</w:t>
      </w:r>
      <w:r w:rsidDel="00000000" w:rsidR="00000000" w:rsidRPr="00000000">
        <w:rPr>
          <w:sz w:val="20"/>
          <w:szCs w:val="20"/>
          <w:rtl w:val="1"/>
        </w:rPr>
        <w:t xml:space="preserve">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